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报告事项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>
      <w:pPr>
        <w:spacing w:line="560" w:lineRule="exact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40" w:lineRule="exact"/>
        <w:contextualSpacing/>
        <w:jc w:val="center"/>
        <w:rPr>
          <w:rFonts w:ascii="方正小标宋简体" w:hAnsi="宋体" w:eastAsia="方正小标宋简体" w:cs="宋体"/>
          <w:bCs/>
          <w:sz w:val="40"/>
          <w:szCs w:val="40"/>
        </w:rPr>
      </w:pPr>
      <w:r>
        <w:rPr>
          <w:rFonts w:hint="eastAsia" w:ascii="方正小标宋简体" w:hAnsi="宋体" w:eastAsia="方正小标宋简体" w:cs="宋体"/>
          <w:bCs/>
          <w:sz w:val="40"/>
          <w:szCs w:val="40"/>
        </w:rPr>
        <w:t>《长沙农村商业银行股份有限公司</w:t>
      </w:r>
      <w:r>
        <w:rPr>
          <w:rFonts w:ascii="Times New Roman" w:hAnsi="Times New Roman" w:eastAsia="方正小标宋简体" w:cs="Times New Roman"/>
          <w:bCs/>
          <w:sz w:val="40"/>
          <w:szCs w:val="40"/>
        </w:rPr>
        <w:t>20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bCs/>
          <w:sz w:val="40"/>
          <w:szCs w:val="40"/>
          <w:lang w:eastAsia="zh-CN"/>
        </w:rPr>
        <w:t>—</w:t>
      </w:r>
      <w:r>
        <w:rPr>
          <w:rFonts w:ascii="Times New Roman" w:hAnsi="Times New Roman" w:eastAsia="方正小标宋简体" w:cs="Times New Roman"/>
          <w:bCs/>
          <w:sz w:val="40"/>
          <w:szCs w:val="40"/>
        </w:rPr>
        <w:t>202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bCs/>
          <w:sz w:val="40"/>
          <w:szCs w:val="40"/>
        </w:rPr>
        <w:t>年</w:t>
      </w:r>
      <w:r>
        <w:rPr>
          <w:rFonts w:hint="eastAsia" w:ascii="方正小标宋简体" w:hAnsi="宋体" w:eastAsia="方正小标宋简体" w:cs="宋体"/>
          <w:bCs/>
          <w:sz w:val="40"/>
          <w:szCs w:val="40"/>
          <w:lang w:eastAsia="zh-CN"/>
        </w:rPr>
        <w:t>改革发展总体</w:t>
      </w:r>
      <w:r>
        <w:rPr>
          <w:rFonts w:hint="eastAsia" w:ascii="方正小标宋简体" w:hAnsi="宋体" w:eastAsia="方正小标宋简体" w:cs="宋体"/>
          <w:bCs/>
          <w:sz w:val="40"/>
          <w:szCs w:val="40"/>
        </w:rPr>
        <w:t>规划》</w:t>
      </w:r>
      <w:r>
        <w:rPr>
          <w:rFonts w:ascii="Times New Roman" w:hAnsi="Times New Roman" w:eastAsia="方正小标宋简体" w:cs="Times New Roman"/>
          <w:bCs/>
          <w:sz w:val="40"/>
          <w:szCs w:val="40"/>
        </w:rPr>
        <w:t>20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</w:rPr>
        <w:t>2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bCs/>
          <w:sz w:val="40"/>
          <w:szCs w:val="40"/>
        </w:rPr>
        <w:t>年度评估报告</w:t>
      </w:r>
    </w:p>
    <w:p>
      <w:pPr>
        <w:spacing w:line="560" w:lineRule="exact"/>
        <w:contextualSpacing/>
        <w:jc w:val="center"/>
        <w:rPr>
          <w:rFonts w:eastAsia="仿宋_GB2312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十四五”时期（2021-2025年）是我国决胜全面建成小康社会取得伟大成就、“两个一百年”进入历史交汇点的关键时期，也是全面开启社会主义现代化强国建设新征程的重要机遇期。为深入贯彻新发展理念、抢抓发展新机遇、开启发展新篇章，2021年度，本行坚定不移</w:t>
      </w:r>
      <w:r>
        <w:rPr>
          <w:rFonts w:ascii="Times New Roman" w:hAnsi="Times New Roman" w:eastAsia="仿宋_GB2312" w:cs="Times New Roman"/>
          <w:sz w:val="32"/>
          <w:szCs w:val="32"/>
        </w:rPr>
        <w:t>以习近平新时代中国特色社会主义思想为指导，全面贯彻党的十九大及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十九届</w:t>
      </w:r>
      <w:r>
        <w:rPr>
          <w:rFonts w:ascii="Times New Roman" w:hAnsi="Times New Roman" w:eastAsia="仿宋_GB2312" w:cs="Times New Roman"/>
          <w:sz w:val="32"/>
          <w:szCs w:val="32"/>
        </w:rPr>
        <w:t>历次全会精神和中央、省委、市委经济工作会议精神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坚持“党建共创、金融普惠”发展方向不动摇，全面推进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落实“12345”经</w:t>
      </w:r>
      <w:r>
        <w:rPr>
          <w:rFonts w:ascii="Times New Roman" w:hAnsi="Times New Roman" w:eastAsia="仿宋_GB2312" w:cs="Times New Roman"/>
          <w:sz w:val="32"/>
          <w:szCs w:val="32"/>
        </w:rPr>
        <w:t>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思路</w:t>
      </w:r>
      <w:r>
        <w:rPr>
          <w:rFonts w:ascii="Times New Roman" w:hAnsi="Times New Roman" w:eastAsia="仿宋_GB2312" w:cs="Times New Roman"/>
          <w:sz w:val="32"/>
          <w:szCs w:val="32"/>
        </w:rPr>
        <w:t>，坚持做小做散、支农支微，大力发展普惠金融、绿色金融，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较好地完成了本年度经营发展计划，现对《长沙农村商业银行股份有限公司2021-2025年改革发展总体规划》2021年度完成情况进行评估并报告如下：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一、评估目的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客观评价本行2021年度业务发展和经营管理情况，综合分析优势和不足，总结经验、补齐短板，进一步推动本行高质量可持续发展。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二、业务发展规划评估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（一）主要业务、财务及监管指标</w:t>
      </w:r>
    </w:p>
    <w:tbl>
      <w:tblPr>
        <w:tblStyle w:val="7"/>
        <w:tblW w:w="0" w:type="auto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385"/>
        <w:gridCol w:w="1740"/>
        <w:gridCol w:w="1740"/>
        <w:gridCol w:w="1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52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2021</w:t>
            </w: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年末（单位：亿元、户、</w:t>
            </w: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%</w:t>
            </w: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规划值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完成值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8"/>
                <w:szCs w:val="28"/>
              </w:rPr>
              <w:t>完成率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总资产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1584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1595.58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100.73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总收入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76.18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110.41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净利润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13.09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109.08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不良贷款率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≤1.50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1.60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93.33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贷款客户数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75000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84421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拨备覆盖率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≥150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202.37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134.91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资本充足率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≥12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14.22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一级资本充足率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≥11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13.07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核心一级资本充足率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≥11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13.07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资产利润率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≥0.70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0.85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资本利润率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≥8.00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8.85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成本收入比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≤35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31.79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109.17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 w:val="24"/>
                <w:szCs w:val="24"/>
              </w:rPr>
              <w:t>综合费用率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≤25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18.46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135.43</w:t>
            </w:r>
          </w:p>
        </w:tc>
      </w:tr>
    </w:tbl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（二）业务发展成效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重点布局，做精公司金融。推进“入链”工程、实施“拓优计划”，加强产业链营销，全年共实现拓优客户新增1300余户，为实现客户结构调整打下了坚实基础。积极参与2021年第十届长沙金融服务节，共服务长沙市小微企业700余家，荣获“2021年第十届长沙金融服务节最佳金融服务奖”和“2021年第十届长沙金融服务节优秀个人”两个奖项。搭建科技金融服务平台，推动科技金融发展。依托“三高四新”做大贸易金融，全年累计本外币贸易融资超15亿元；国际结算业务、企业跨境人民币业务量稳步增长，有效提升了服务跨境交易的能力。成功入围了2022-2023湖南省省级财政国库集中收付、湖南省省级财政专户社保资金定期存放、长沙市财政局社保基金财政专户资金定期存放参与银行等，有效提升了政务服务能力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纵深推进，做深零售金融。优化客群结构及产品结构，构建高效的营销体系，积极切入市场，做好名单制营销，开展精准营销，逐步搭建高净值客户臻享、中端客户尊享、大众客户普惠的客户权益体系。全行个人客户管理资产（储蓄存款+个人理财）增幅12.43%，客户管理资产规模持续做大，客户结构持续优化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3.夯基拓面，做广普惠金融。全年累计在1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31</w:t>
      </w:r>
      <w:r>
        <w:rPr>
          <w:rFonts w:ascii="Times New Roman" w:hAnsi="Times New Roman" w:eastAsia="仿宋_GB2312" w:cs="Times New Roman"/>
          <w:sz w:val="32"/>
          <w:szCs w:val="32"/>
        </w:rPr>
        <w:t>个村社开展整村授信，在25个商圈开展整圈授信，累计走访客户数4.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万户，评级授信4万余户。普惠型小微企业信用贷款余额较年初余额增长1.25倍，首贷户较年初增长1.29倍，小微企业金融监管评级获评为2A级，为省内法人银行机构最高等级。完成了81家福祥E站建设任务，初步完成辖内799个行政村/社区/园区的画格、定格、人员入格工作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稳步提升，做优同业金融。全年累计发行理财产品15支，理财产品年末余额同比增长85.77%；不断丰富理财品种，新增定开式公募类产品，普惠型理财体系更加健全。贴现业务余额大幅增长，支持中小微民营企业50余家，重点支持了远大集团等多家绿色企业，助力“双碳”工程。成功发行了小微金融债20亿元，增强了本行服务实体经济的能力。获评中债2021担保品业务卓越先锋机构，全国仅6家金融机构获奖。连续六年资产零不良，投资交易零风险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（三）存在差距及原因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项主要业务、财务及监管指标中，有12项指标完成率超过100%，不良贷款率指标未全面完成，年初规划为不超过1.5%，年末实际为1.6%，差距为0.1个百分点。主要原因为2021年4季度根据银保监会、省联社真实反映信贷资产质量的要求，按照实质重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形式</w:t>
      </w:r>
      <w:r>
        <w:rPr>
          <w:rFonts w:ascii="Times New Roman" w:hAnsi="Times New Roman" w:eastAsia="仿宋_GB2312" w:cs="Times New Roman"/>
          <w:sz w:val="32"/>
          <w:szCs w:val="32"/>
        </w:rPr>
        <w:t>原则，手工调整贷款五级分类金额2.31亿元，纳入不良贷款管理，导致年末不良率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高于</w:t>
      </w:r>
      <w:r>
        <w:rPr>
          <w:rFonts w:ascii="Times New Roman" w:hAnsi="Times New Roman" w:eastAsia="仿宋_GB2312" w:cs="Times New Roman"/>
          <w:sz w:val="32"/>
          <w:szCs w:val="32"/>
        </w:rPr>
        <w:t>规划值。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三、体系建设规划评估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（一）人力资源体系建设。</w:t>
      </w:r>
      <w:r>
        <w:rPr>
          <w:rFonts w:ascii="Times New Roman" w:hAnsi="Times New Roman" w:eastAsia="仿宋_GB2312" w:cs="Times New Roman"/>
          <w:sz w:val="32"/>
          <w:szCs w:val="32"/>
        </w:rPr>
        <w:t>发挥人才力量，布局人才孵化体系。通过招聘、调研、考核等方式识别人才，夯实人才基础。通过优化薪酬制度、健全岗位管理制度、试水专业序列选拔聘用等方式激励人才，激发人才活力。通过开展各层级人员素质能力提升全覆盖培训、储备内训师资、完善机关与基层员工交流制度、优化员工岗位结构等方式培养人才，拓展成才通道。</w:t>
      </w:r>
      <w:bookmarkStart w:id="0" w:name="_Toc74"/>
      <w:r>
        <w:rPr>
          <w:rFonts w:ascii="Times New Roman" w:hAnsi="Times New Roman" w:eastAsia="仿宋_GB2312" w:cs="Times New Roman"/>
          <w:sz w:val="32"/>
          <w:szCs w:val="32"/>
        </w:rPr>
        <w:t>通过加大医疗保障力度，购买长沙惠民保、补充医疗保险和家庭财产保险等方式保障人才，提升人才幸福感</w:t>
      </w:r>
      <w:bookmarkEnd w:id="0"/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640" w:firstLineChars="200"/>
        <w:jc w:val="both"/>
        <w:textAlignment w:val="auto"/>
        <w:rPr>
          <w:rFonts w:ascii="Times New Roman" w:hAnsi="Times New Roman" w:eastAsia="仿宋_GB2312" w:cs="Times New Roman"/>
          <w:spacing w:val="0"/>
          <w:sz w:val="32"/>
        </w:rPr>
      </w:pPr>
      <w:r>
        <w:rPr>
          <w:rFonts w:ascii="Times New Roman" w:hAnsi="Times New Roman" w:eastAsia="楷体_GB2312" w:cs="Times New Roman"/>
          <w:bCs/>
          <w:sz w:val="32"/>
        </w:rPr>
        <w:t>（二）风险控制体系建设。</w:t>
      </w:r>
      <w:r>
        <w:rPr>
          <w:rFonts w:ascii="Times New Roman" w:hAnsi="Times New Roman" w:eastAsia="仿宋_GB2312" w:cs="Times New Roman"/>
          <w:color w:val="auto"/>
          <w:spacing w:val="0"/>
          <w:sz w:val="32"/>
        </w:rPr>
        <w:t>制定授信政策指引、贷款定价管理办法和支行信贷权限管理等基础性管理文件，优化了贷款利率定价和信贷业务授权管理模型，并推广授信标准化作业，进一步加强了信贷权限灵活授权、利率定价、授信流程等方面的动态管理。开展信贷客户经理专题培训，制作信贷业务“口袋书”和“问题集”，促进基层信贷人员进一步熟悉信贷制度、办法及操作流程，提升专业素养防范操作风险。</w:t>
      </w:r>
      <w:r>
        <w:rPr>
          <w:rFonts w:ascii="Times New Roman" w:hAnsi="Times New Roman" w:eastAsia="仿宋_GB2312" w:cs="Times New Roman"/>
          <w:spacing w:val="0"/>
          <w:sz w:val="32"/>
        </w:rPr>
        <w:t>制定了风险管理五年规划，出台《2021年全面风险管理指引》等3个制度，修订《风险管理委员会议事规则》等2个文件，完善了风险管理制度体系。选聘了6名风险经理派驻到一级支行，审查一级支行权限内贷款1500余户、650亿元，实现了垂直化风险管理，完善了风险管理组织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（三）资源配置体系建设。</w:t>
      </w:r>
      <w:r>
        <w:rPr>
          <w:rFonts w:ascii="Times New Roman" w:hAnsi="Times New Roman" w:eastAsia="仿宋_GB2312" w:cs="Times New Roman"/>
          <w:sz w:val="32"/>
          <w:szCs w:val="32"/>
        </w:rPr>
        <w:t>坚持“以模拟利润为中心”的基本原则，完善绩效考核机制，细化资本成本约束，引导经营机构做小做散。完善利率定价机制，促进树立“效益经营”理念，增强效益经营能力。搭建预算目标指标库，将全面发展战略转化为确定可行的预算目标，将资本预算、业务规模、产品利率预算等纳入预算范围，提高全面预算统筹管控能力。上线运行指标管理平台，实现系统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指标管理、自助报表、综合报表、特色化展示</w:t>
      </w:r>
      <w:r>
        <w:rPr>
          <w:rFonts w:ascii="Times New Roman" w:hAnsi="Times New Roman" w:eastAsia="仿宋_GB2312" w:cs="Times New Roman"/>
          <w:sz w:val="32"/>
          <w:szCs w:val="32"/>
        </w:rPr>
        <w:t>等模块所有功能均在线上正常运行，进一步提高了数据共享等能力。持续完善FTP系统，投产资产负债产品定价系统，为进一步完善定价机制和流程，提升存贷款价格管理的主动性和科学性奠定了坚实的基础。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（四）科技创新体系建设。</w:t>
      </w:r>
      <w:r>
        <w:rPr>
          <w:rFonts w:ascii="Times New Roman" w:hAnsi="Times New Roman" w:eastAsia="仿宋_GB2312" w:cs="Times New Roman"/>
          <w:sz w:val="32"/>
          <w:szCs w:val="32"/>
        </w:rPr>
        <w:t>制定信息安全管理、信息科技服务管理和电子化建设项目管理等33个制度，并配套制定各类工作指南、实施细则53个。建设了私有云平台、大数据平台、内容管理平台、ESB服务总线、IT智能运维平台、态势感知平台、零信任网络平台等一系列信息科技基础平台，支撑和赋能业务发展的“四梁八柱”基本搭建完成。投产了电子挎包、小微信贷系统、企业现金管理和账户管理系统等应用系统，科技赋能业务发展和精细化管理的效果初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（五）文化建设体系建设。</w:t>
      </w:r>
      <w:r>
        <w:rPr>
          <w:rFonts w:ascii="Times New Roman" w:hAnsi="Times New Roman" w:eastAsia="仿宋_GB2312" w:cs="Times New Roman"/>
          <w:sz w:val="32"/>
          <w:szCs w:val="32"/>
        </w:rPr>
        <w:t>推行清廉金融文化建设，举办了“清廉金融文化教育月”系列活动，打造清廉金融文化示范点；开设“清廉金融文化建设”专栏，举办清廉金融文化艺术作品展，拍摄《清风养正气廉洁促发展—长沙农商银行清廉金融文化建设纪实》视频，开展清廉金融文化宣教阵地建设。推行奋斗者文化建设，推出“奋斗者的风采”系列报道31期，挖掘出一批优秀员工代表，编撰印发《追梦人—长沙农商银行奋斗者风采剪影》（第一辑），充分发挥先锋模范带头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四、保障支持规划评估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（一）完善公司治理。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按照“党委会前置研究、董事会战略决策、高管层执行落实、监事会依法监督”运作模式，进一步规范公司治理架构和治理机制。开展了股东“共生共荣共发展”联动营销活动，举办了改革发展建言献策股东座谈会，通过多途径的沟通、业务上的联动，融洽与股东的关系，加强与股东的合作。全年召开了董事会例会4次、临时会议3次，董事会专门委员会24次，审议议案51个，听取报告26个，充分发挥董事会决策职权。举办线上、线下专项学习培训6场，不断提升董事履职意识和履职能力。持续加强关联交易管理，严格开展关联交易自查，全面完成存量股权问题的整改工作，报告期末股权现场确权比例达到98%以上，基本完成股权实名制登记；持续加强数据治理，提高数据质量，发挥数据价值。在银保监会开展的2021年公司治理评估中，本行评定为良好等级且得分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</w:t>
      </w:r>
      <w:r>
        <w:rPr>
          <w:rFonts w:ascii="Times New Roman" w:hAnsi="Times New Roman" w:eastAsia="楷体_GB2312" w:cs="Times New Roman"/>
          <w:bCs/>
          <w:sz w:val="32"/>
          <w:szCs w:val="32"/>
        </w:rPr>
        <w:t>健全防控体系。</w:t>
      </w:r>
      <w:r>
        <w:rPr>
          <w:rFonts w:ascii="Times New Roman" w:hAnsi="Times New Roman" w:eastAsia="仿宋_GB2312" w:cs="Times New Roman"/>
          <w:sz w:val="32"/>
          <w:szCs w:val="32"/>
        </w:rPr>
        <w:t>牢牢守住不发生新案件、不发生重大案件、不发生同质同类案件三条底线，切实筑牢案件防控“防火墙”“安全堤”“隔离带”。扎实开展“内控合规管理建设年”活动，围绕活动“五个突出”主要任务，打造“揭示问题—落实整改—警示问责—检验成效—完善管理”的全闭环治理机制，从根本上厚植合规文化。通过“合规培训进基层”宣讲，“法纪为上”主题征文，搭建“合规会客厅”，持续开展“叮咚答题”，刊发“合规简报”等措施，进一步深化合规理念。上线反洗钱数据自检系统，反洗钱治理逐步从满足合规性到追求有效性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（三）</w:t>
      </w:r>
      <w:r>
        <w:rPr>
          <w:rFonts w:ascii="Times New Roman" w:hAnsi="Times New Roman" w:eastAsia="楷体_GB2312" w:cs="Times New Roman"/>
          <w:bCs/>
          <w:sz w:val="32"/>
          <w:szCs w:val="32"/>
        </w:rPr>
        <w:t>精细运营管理。</w:t>
      </w:r>
      <w:r>
        <w:rPr>
          <w:rFonts w:ascii="Times New Roman" w:hAnsi="Times New Roman" w:eastAsia="仿宋_GB2312" w:cs="Times New Roman"/>
          <w:sz w:val="32"/>
          <w:szCs w:val="32"/>
        </w:rPr>
        <w:t>全年编写了8套标准化系列丛书、5套标准化手册并向全省农商行推广试点，成为全省农信系统运营标准化的制定者。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实行“上岗资格准入”“星级评定”“绩效考核”，真正实现了对柜员管理的精细化。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严把事中授权、事后监督、定期检查三道操作风险关口，通过远程授权堵截风险、通过事后监督发现疑点；通过突击查库、清算挂账、账户管理、重要物品使用等专项检查有效发挥了把关堵口作用，精准发力筑牢运营风险防线，</w:t>
      </w:r>
      <w:r>
        <w:rPr>
          <w:rFonts w:ascii="Times New Roman" w:hAnsi="Times New Roman" w:eastAsia="仿宋_GB2312" w:cs="Times New Roman"/>
          <w:sz w:val="32"/>
          <w:szCs w:val="32"/>
        </w:rPr>
        <w:t>成为全省农信系统运营标杆。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contextualSpacing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（四）</w:t>
      </w:r>
      <w:r>
        <w:rPr>
          <w:rFonts w:ascii="Times New Roman" w:hAnsi="Times New Roman" w:eastAsia="楷体_GB2312" w:cs="Times New Roman"/>
          <w:bCs/>
          <w:sz w:val="32"/>
          <w:szCs w:val="32"/>
        </w:rPr>
        <w:t>履行社会责任。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积极响应中央向实体经济让利的政策要求，减轻小微企业财务负担，采取无还本续贷、取消和降低企业收费、减免租金等方式，为小微企业节省财务成本500多万元。积极发展转贷基金业务，为小微企业节约转贷成本1500多万元。向省联社1+1温暖基金捐赠100万元温暖资金，向140名贫困大学新生共计发放70万元助学款，向长沙青基会捐赠19.5万元援建13家希望小屋，设立10个爱心冰柜、57600瓶冷饮为户外工作者送上一份清凉，以实际行动建设有温度的百姓银行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四、评估结论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综合评估13项业务、财务和监管指标，12项指标超额完成任务，1项指标完成率为93.33%。综合评估5大体系建设规划，4项保障支持规划，均较好地完成了2021年度发展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任务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达到</w:t>
      </w:r>
      <w:r>
        <w:rPr>
          <w:rFonts w:ascii="Times New Roman" w:hAnsi="Times New Roman" w:eastAsia="仿宋_GB2312" w:cs="Times New Roman"/>
          <w:sz w:val="32"/>
          <w:szCs w:val="32"/>
        </w:rPr>
        <w:t>了发展预期。2022年度，本行将启动信贷风控系统开发建设，实现行内信贷业务全流程、全渠道、全产品、全客群覆盖，形成功能健全、独立可控的信贷业务全流程风控系统；通过信贷审批线上线下融合“集中化”模式，实现小额贷款线上自动化审批，大额贷款线下集中审批，全方位控制授信业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风险</w:t>
      </w:r>
      <w:bookmarkStart w:id="1" w:name="_GoBack"/>
      <w:bookmarkEnd w:id="1"/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本行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监事会认为，本行2021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2025年改革发展总体规划方向明确、措施科学、目标合理，同时，本行在2021年也较好地执行了规划，基本完成了总体规划的阶段性目标。总体规划兼顾了本行的短期目标和长远发展，能够更好地推动本行的稳健和高质量发展。</w:t>
      </w:r>
    </w:p>
    <w:p>
      <w:pPr>
        <w:snapToGrid w:val="0"/>
        <w:spacing w:line="560" w:lineRule="exact"/>
        <w:ind w:firstLine="640" w:firstLineChars="200"/>
        <w:contextualSpacing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jc w:val="right"/>
      <w:rPr>
        <w:rFonts w:cs="Times New Roman"/>
      </w:rPr>
    </w:pPr>
  </w:p>
  <w:p>
    <w:pPr>
      <w:pStyle w:val="4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rFonts w:ascii="宋体" w:cs="Times New Roman"/>
        <w:sz w:val="28"/>
        <w:szCs w:val="28"/>
      </w:rPr>
    </w:pP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evenAndOddHeaders w:val="1"/>
  <w:drawingGridHorizontalSpacing w:val="105"/>
  <w:drawingGridVerticalSpacing w:val="57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1C3"/>
    <w:rsid w:val="00012311"/>
    <w:rsid w:val="000130FA"/>
    <w:rsid w:val="00020A40"/>
    <w:rsid w:val="00021554"/>
    <w:rsid w:val="00021B4B"/>
    <w:rsid w:val="000266E0"/>
    <w:rsid w:val="00033D46"/>
    <w:rsid w:val="00042B0D"/>
    <w:rsid w:val="0004540A"/>
    <w:rsid w:val="0005100A"/>
    <w:rsid w:val="00051CDD"/>
    <w:rsid w:val="00067BDC"/>
    <w:rsid w:val="00067DEE"/>
    <w:rsid w:val="00071418"/>
    <w:rsid w:val="00074315"/>
    <w:rsid w:val="000801E4"/>
    <w:rsid w:val="0008529C"/>
    <w:rsid w:val="00087FA2"/>
    <w:rsid w:val="000919D3"/>
    <w:rsid w:val="00093C8A"/>
    <w:rsid w:val="000968F8"/>
    <w:rsid w:val="0009720A"/>
    <w:rsid w:val="000A05CA"/>
    <w:rsid w:val="000A07CC"/>
    <w:rsid w:val="000A22AF"/>
    <w:rsid w:val="000A4C97"/>
    <w:rsid w:val="000A6C5C"/>
    <w:rsid w:val="000B4187"/>
    <w:rsid w:val="000B5A13"/>
    <w:rsid w:val="000B7351"/>
    <w:rsid w:val="000C4901"/>
    <w:rsid w:val="000C5585"/>
    <w:rsid w:val="000D547B"/>
    <w:rsid w:val="000D7BE0"/>
    <w:rsid w:val="000E3164"/>
    <w:rsid w:val="000E4053"/>
    <w:rsid w:val="000F54E2"/>
    <w:rsid w:val="000F7B5A"/>
    <w:rsid w:val="0010015F"/>
    <w:rsid w:val="0010206A"/>
    <w:rsid w:val="00104914"/>
    <w:rsid w:val="00107079"/>
    <w:rsid w:val="00107DA3"/>
    <w:rsid w:val="00123142"/>
    <w:rsid w:val="001249DC"/>
    <w:rsid w:val="00132FEB"/>
    <w:rsid w:val="00133119"/>
    <w:rsid w:val="00134D98"/>
    <w:rsid w:val="00140D7B"/>
    <w:rsid w:val="0014316F"/>
    <w:rsid w:val="00150313"/>
    <w:rsid w:val="0015186C"/>
    <w:rsid w:val="001609C3"/>
    <w:rsid w:val="00174D74"/>
    <w:rsid w:val="00176B8C"/>
    <w:rsid w:val="001778B6"/>
    <w:rsid w:val="00190C9F"/>
    <w:rsid w:val="00194023"/>
    <w:rsid w:val="0019510B"/>
    <w:rsid w:val="001A3079"/>
    <w:rsid w:val="001A795B"/>
    <w:rsid w:val="001B1815"/>
    <w:rsid w:val="001B69E0"/>
    <w:rsid w:val="001B7A0E"/>
    <w:rsid w:val="001C2E1E"/>
    <w:rsid w:val="001C531E"/>
    <w:rsid w:val="001D0B28"/>
    <w:rsid w:val="001D2863"/>
    <w:rsid w:val="001D33D8"/>
    <w:rsid w:val="001D5140"/>
    <w:rsid w:val="001F400E"/>
    <w:rsid w:val="001F5FBB"/>
    <w:rsid w:val="00212614"/>
    <w:rsid w:val="00213EE9"/>
    <w:rsid w:val="00220709"/>
    <w:rsid w:val="00222A8B"/>
    <w:rsid w:val="002371E8"/>
    <w:rsid w:val="00240337"/>
    <w:rsid w:val="00243413"/>
    <w:rsid w:val="00243FA6"/>
    <w:rsid w:val="002556D9"/>
    <w:rsid w:val="00264ECE"/>
    <w:rsid w:val="002666AA"/>
    <w:rsid w:val="002727F8"/>
    <w:rsid w:val="00272FDB"/>
    <w:rsid w:val="0028071A"/>
    <w:rsid w:val="00283080"/>
    <w:rsid w:val="00285D26"/>
    <w:rsid w:val="00285FB8"/>
    <w:rsid w:val="00287DB0"/>
    <w:rsid w:val="002957EF"/>
    <w:rsid w:val="00296197"/>
    <w:rsid w:val="00297770"/>
    <w:rsid w:val="002E4CC1"/>
    <w:rsid w:val="002E7598"/>
    <w:rsid w:val="002F3172"/>
    <w:rsid w:val="002F49DE"/>
    <w:rsid w:val="002F6144"/>
    <w:rsid w:val="00302290"/>
    <w:rsid w:val="003063FA"/>
    <w:rsid w:val="00306821"/>
    <w:rsid w:val="00311365"/>
    <w:rsid w:val="00312BAE"/>
    <w:rsid w:val="003269B6"/>
    <w:rsid w:val="00326B73"/>
    <w:rsid w:val="00332A21"/>
    <w:rsid w:val="00356837"/>
    <w:rsid w:val="00361204"/>
    <w:rsid w:val="00361499"/>
    <w:rsid w:val="00367004"/>
    <w:rsid w:val="00370060"/>
    <w:rsid w:val="0037094C"/>
    <w:rsid w:val="00371B1D"/>
    <w:rsid w:val="0037542D"/>
    <w:rsid w:val="00385C74"/>
    <w:rsid w:val="00387EC2"/>
    <w:rsid w:val="0039221D"/>
    <w:rsid w:val="0039543A"/>
    <w:rsid w:val="003A2A04"/>
    <w:rsid w:val="003B2834"/>
    <w:rsid w:val="003C23EC"/>
    <w:rsid w:val="003C38BE"/>
    <w:rsid w:val="003C4C6F"/>
    <w:rsid w:val="003D30BA"/>
    <w:rsid w:val="003D505A"/>
    <w:rsid w:val="003D7F1E"/>
    <w:rsid w:val="003E4564"/>
    <w:rsid w:val="003E6A76"/>
    <w:rsid w:val="003F4EB2"/>
    <w:rsid w:val="00402798"/>
    <w:rsid w:val="0040291E"/>
    <w:rsid w:val="00405060"/>
    <w:rsid w:val="004061A0"/>
    <w:rsid w:val="004073D2"/>
    <w:rsid w:val="004074CF"/>
    <w:rsid w:val="00413CC1"/>
    <w:rsid w:val="004248D0"/>
    <w:rsid w:val="0043091A"/>
    <w:rsid w:val="00441924"/>
    <w:rsid w:val="00442516"/>
    <w:rsid w:val="00460CBF"/>
    <w:rsid w:val="004615AE"/>
    <w:rsid w:val="004631C3"/>
    <w:rsid w:val="00463335"/>
    <w:rsid w:val="00466ACB"/>
    <w:rsid w:val="00472A5D"/>
    <w:rsid w:val="0048224D"/>
    <w:rsid w:val="0048269C"/>
    <w:rsid w:val="004866D3"/>
    <w:rsid w:val="004928CB"/>
    <w:rsid w:val="004932B3"/>
    <w:rsid w:val="004974D5"/>
    <w:rsid w:val="00497538"/>
    <w:rsid w:val="004A0CBB"/>
    <w:rsid w:val="004A221D"/>
    <w:rsid w:val="004B34CC"/>
    <w:rsid w:val="004B516C"/>
    <w:rsid w:val="004D29D1"/>
    <w:rsid w:val="004D5CEE"/>
    <w:rsid w:val="004D62B9"/>
    <w:rsid w:val="004E1B95"/>
    <w:rsid w:val="004F3CD5"/>
    <w:rsid w:val="004F3E95"/>
    <w:rsid w:val="004F4D0F"/>
    <w:rsid w:val="00502D4B"/>
    <w:rsid w:val="00510416"/>
    <w:rsid w:val="00512F75"/>
    <w:rsid w:val="00513BFD"/>
    <w:rsid w:val="00515CA6"/>
    <w:rsid w:val="00522727"/>
    <w:rsid w:val="00522E16"/>
    <w:rsid w:val="00523589"/>
    <w:rsid w:val="00530140"/>
    <w:rsid w:val="00533F1C"/>
    <w:rsid w:val="00535DBE"/>
    <w:rsid w:val="00541510"/>
    <w:rsid w:val="00541BED"/>
    <w:rsid w:val="00563701"/>
    <w:rsid w:val="00566FFF"/>
    <w:rsid w:val="005678C4"/>
    <w:rsid w:val="005746A8"/>
    <w:rsid w:val="00574EFF"/>
    <w:rsid w:val="00586ADC"/>
    <w:rsid w:val="0059036F"/>
    <w:rsid w:val="005A014E"/>
    <w:rsid w:val="005A303B"/>
    <w:rsid w:val="005B31B1"/>
    <w:rsid w:val="005B5F60"/>
    <w:rsid w:val="005B6F53"/>
    <w:rsid w:val="005B71A5"/>
    <w:rsid w:val="005C0128"/>
    <w:rsid w:val="005C031F"/>
    <w:rsid w:val="005C2C9D"/>
    <w:rsid w:val="005C2CD4"/>
    <w:rsid w:val="005C3C47"/>
    <w:rsid w:val="005C60BA"/>
    <w:rsid w:val="005C6156"/>
    <w:rsid w:val="005E4C3C"/>
    <w:rsid w:val="005E68AB"/>
    <w:rsid w:val="005F1AF6"/>
    <w:rsid w:val="005F3640"/>
    <w:rsid w:val="006041A9"/>
    <w:rsid w:val="00605EF6"/>
    <w:rsid w:val="00607B52"/>
    <w:rsid w:val="0061080F"/>
    <w:rsid w:val="0062482B"/>
    <w:rsid w:val="00624F18"/>
    <w:rsid w:val="006363E3"/>
    <w:rsid w:val="0064351A"/>
    <w:rsid w:val="00645A9E"/>
    <w:rsid w:val="00646307"/>
    <w:rsid w:val="006603F4"/>
    <w:rsid w:val="00664E38"/>
    <w:rsid w:val="0067419A"/>
    <w:rsid w:val="0067560A"/>
    <w:rsid w:val="006924A3"/>
    <w:rsid w:val="00694ED0"/>
    <w:rsid w:val="006A0471"/>
    <w:rsid w:val="006A2656"/>
    <w:rsid w:val="006A496D"/>
    <w:rsid w:val="006A754F"/>
    <w:rsid w:val="006A75BB"/>
    <w:rsid w:val="006B3BD0"/>
    <w:rsid w:val="006B57D1"/>
    <w:rsid w:val="006B77DC"/>
    <w:rsid w:val="006C1674"/>
    <w:rsid w:val="006C54D6"/>
    <w:rsid w:val="006C5BA1"/>
    <w:rsid w:val="006D11A9"/>
    <w:rsid w:val="006D3208"/>
    <w:rsid w:val="006D3809"/>
    <w:rsid w:val="006E2954"/>
    <w:rsid w:val="006E5BE8"/>
    <w:rsid w:val="006E5CAA"/>
    <w:rsid w:val="006E66F8"/>
    <w:rsid w:val="006F1FD3"/>
    <w:rsid w:val="006F4120"/>
    <w:rsid w:val="00702887"/>
    <w:rsid w:val="0070707A"/>
    <w:rsid w:val="00721CFB"/>
    <w:rsid w:val="00723235"/>
    <w:rsid w:val="00724C5A"/>
    <w:rsid w:val="00730EA2"/>
    <w:rsid w:val="00736D3C"/>
    <w:rsid w:val="007408A4"/>
    <w:rsid w:val="00750B8D"/>
    <w:rsid w:val="00751A89"/>
    <w:rsid w:val="00755758"/>
    <w:rsid w:val="0076474B"/>
    <w:rsid w:val="00771A51"/>
    <w:rsid w:val="007750A8"/>
    <w:rsid w:val="007863A3"/>
    <w:rsid w:val="00795197"/>
    <w:rsid w:val="0079577F"/>
    <w:rsid w:val="007A13D2"/>
    <w:rsid w:val="007A1743"/>
    <w:rsid w:val="007A1F78"/>
    <w:rsid w:val="007A5AB4"/>
    <w:rsid w:val="007B0941"/>
    <w:rsid w:val="007B1519"/>
    <w:rsid w:val="007B6939"/>
    <w:rsid w:val="007B7325"/>
    <w:rsid w:val="007E32E6"/>
    <w:rsid w:val="007E591C"/>
    <w:rsid w:val="007F37AB"/>
    <w:rsid w:val="007F3A49"/>
    <w:rsid w:val="007F6285"/>
    <w:rsid w:val="007F77B5"/>
    <w:rsid w:val="00801C91"/>
    <w:rsid w:val="008067B4"/>
    <w:rsid w:val="00807D9B"/>
    <w:rsid w:val="00811238"/>
    <w:rsid w:val="00812BC8"/>
    <w:rsid w:val="00814286"/>
    <w:rsid w:val="00827A00"/>
    <w:rsid w:val="00830545"/>
    <w:rsid w:val="00831987"/>
    <w:rsid w:val="00833852"/>
    <w:rsid w:val="008371BA"/>
    <w:rsid w:val="008423A3"/>
    <w:rsid w:val="00843D58"/>
    <w:rsid w:val="00861FCC"/>
    <w:rsid w:val="00870149"/>
    <w:rsid w:val="0087085F"/>
    <w:rsid w:val="008744E2"/>
    <w:rsid w:val="00876C66"/>
    <w:rsid w:val="00883D4B"/>
    <w:rsid w:val="008903E3"/>
    <w:rsid w:val="00891153"/>
    <w:rsid w:val="00892008"/>
    <w:rsid w:val="00894740"/>
    <w:rsid w:val="008950C7"/>
    <w:rsid w:val="008B77B2"/>
    <w:rsid w:val="008C0103"/>
    <w:rsid w:val="008D24E0"/>
    <w:rsid w:val="008D4612"/>
    <w:rsid w:val="008E06D6"/>
    <w:rsid w:val="008E2BBC"/>
    <w:rsid w:val="008E357F"/>
    <w:rsid w:val="008E6571"/>
    <w:rsid w:val="008F428B"/>
    <w:rsid w:val="00904142"/>
    <w:rsid w:val="00915D1F"/>
    <w:rsid w:val="0091603D"/>
    <w:rsid w:val="00920DE7"/>
    <w:rsid w:val="00922C1A"/>
    <w:rsid w:val="00935155"/>
    <w:rsid w:val="00936D7E"/>
    <w:rsid w:val="00937FB6"/>
    <w:rsid w:val="00943039"/>
    <w:rsid w:val="009542AA"/>
    <w:rsid w:val="0095437A"/>
    <w:rsid w:val="009558AE"/>
    <w:rsid w:val="00956D58"/>
    <w:rsid w:val="00957F7C"/>
    <w:rsid w:val="00967F2C"/>
    <w:rsid w:val="0097167E"/>
    <w:rsid w:val="00975B5C"/>
    <w:rsid w:val="009936D0"/>
    <w:rsid w:val="009959C9"/>
    <w:rsid w:val="009A04DD"/>
    <w:rsid w:val="009A2D5D"/>
    <w:rsid w:val="009A3CE8"/>
    <w:rsid w:val="009A4141"/>
    <w:rsid w:val="009A5220"/>
    <w:rsid w:val="009A6F8F"/>
    <w:rsid w:val="009C1DBF"/>
    <w:rsid w:val="009C6C8B"/>
    <w:rsid w:val="009D68D6"/>
    <w:rsid w:val="009F3925"/>
    <w:rsid w:val="009F3AA3"/>
    <w:rsid w:val="009F54B6"/>
    <w:rsid w:val="009F5B54"/>
    <w:rsid w:val="009F6B2C"/>
    <w:rsid w:val="00A02595"/>
    <w:rsid w:val="00A10059"/>
    <w:rsid w:val="00A16779"/>
    <w:rsid w:val="00A21EBE"/>
    <w:rsid w:val="00A25ED1"/>
    <w:rsid w:val="00A31AEB"/>
    <w:rsid w:val="00A33441"/>
    <w:rsid w:val="00A36177"/>
    <w:rsid w:val="00A41470"/>
    <w:rsid w:val="00A43146"/>
    <w:rsid w:val="00A44ED8"/>
    <w:rsid w:val="00A45AEE"/>
    <w:rsid w:val="00A47927"/>
    <w:rsid w:val="00A51D71"/>
    <w:rsid w:val="00A5207D"/>
    <w:rsid w:val="00A521B5"/>
    <w:rsid w:val="00A600ED"/>
    <w:rsid w:val="00A65BC7"/>
    <w:rsid w:val="00A70BB0"/>
    <w:rsid w:val="00A84EC7"/>
    <w:rsid w:val="00A87148"/>
    <w:rsid w:val="00A900DF"/>
    <w:rsid w:val="00AB181E"/>
    <w:rsid w:val="00AB1E84"/>
    <w:rsid w:val="00AB2F0F"/>
    <w:rsid w:val="00AB3E88"/>
    <w:rsid w:val="00AC435F"/>
    <w:rsid w:val="00AD052F"/>
    <w:rsid w:val="00AF2437"/>
    <w:rsid w:val="00AF6BE4"/>
    <w:rsid w:val="00B011BB"/>
    <w:rsid w:val="00B0321C"/>
    <w:rsid w:val="00B04747"/>
    <w:rsid w:val="00B05101"/>
    <w:rsid w:val="00B05972"/>
    <w:rsid w:val="00B121B9"/>
    <w:rsid w:val="00B12F2D"/>
    <w:rsid w:val="00B26253"/>
    <w:rsid w:val="00B3090D"/>
    <w:rsid w:val="00B41EB6"/>
    <w:rsid w:val="00B5198A"/>
    <w:rsid w:val="00B52218"/>
    <w:rsid w:val="00B52A21"/>
    <w:rsid w:val="00B77373"/>
    <w:rsid w:val="00B77548"/>
    <w:rsid w:val="00B815A3"/>
    <w:rsid w:val="00B870B6"/>
    <w:rsid w:val="00B877B7"/>
    <w:rsid w:val="00B87B42"/>
    <w:rsid w:val="00BA4DCF"/>
    <w:rsid w:val="00BB0598"/>
    <w:rsid w:val="00BB123C"/>
    <w:rsid w:val="00BC2273"/>
    <w:rsid w:val="00BC314F"/>
    <w:rsid w:val="00BD145B"/>
    <w:rsid w:val="00BD15D8"/>
    <w:rsid w:val="00BD39EB"/>
    <w:rsid w:val="00BD6FA0"/>
    <w:rsid w:val="00BE2D50"/>
    <w:rsid w:val="00BE545E"/>
    <w:rsid w:val="00BF31AB"/>
    <w:rsid w:val="00C062D9"/>
    <w:rsid w:val="00C0654F"/>
    <w:rsid w:val="00C077BC"/>
    <w:rsid w:val="00C12B88"/>
    <w:rsid w:val="00C137A3"/>
    <w:rsid w:val="00C17B88"/>
    <w:rsid w:val="00C20318"/>
    <w:rsid w:val="00C26647"/>
    <w:rsid w:val="00C319D2"/>
    <w:rsid w:val="00C33B9E"/>
    <w:rsid w:val="00C350A3"/>
    <w:rsid w:val="00C4032A"/>
    <w:rsid w:val="00C518FB"/>
    <w:rsid w:val="00C521AE"/>
    <w:rsid w:val="00C61F5B"/>
    <w:rsid w:val="00C634C7"/>
    <w:rsid w:val="00C85A14"/>
    <w:rsid w:val="00C9147C"/>
    <w:rsid w:val="00C95930"/>
    <w:rsid w:val="00CA0274"/>
    <w:rsid w:val="00CA58E4"/>
    <w:rsid w:val="00CB0101"/>
    <w:rsid w:val="00CB37B0"/>
    <w:rsid w:val="00CC3C0F"/>
    <w:rsid w:val="00CC3C34"/>
    <w:rsid w:val="00CC7643"/>
    <w:rsid w:val="00CD21DF"/>
    <w:rsid w:val="00CD446E"/>
    <w:rsid w:val="00CE3AE3"/>
    <w:rsid w:val="00CF1B0C"/>
    <w:rsid w:val="00CF269E"/>
    <w:rsid w:val="00CF3BB8"/>
    <w:rsid w:val="00D071ED"/>
    <w:rsid w:val="00D072CF"/>
    <w:rsid w:val="00D11B76"/>
    <w:rsid w:val="00D35AA0"/>
    <w:rsid w:val="00D37232"/>
    <w:rsid w:val="00D42DC1"/>
    <w:rsid w:val="00D45A1A"/>
    <w:rsid w:val="00D61018"/>
    <w:rsid w:val="00D66561"/>
    <w:rsid w:val="00D73CF1"/>
    <w:rsid w:val="00D91851"/>
    <w:rsid w:val="00D9611F"/>
    <w:rsid w:val="00D964AE"/>
    <w:rsid w:val="00D97877"/>
    <w:rsid w:val="00DA1DE6"/>
    <w:rsid w:val="00DA3791"/>
    <w:rsid w:val="00DB2129"/>
    <w:rsid w:val="00DB44BF"/>
    <w:rsid w:val="00DC0D33"/>
    <w:rsid w:val="00DC4319"/>
    <w:rsid w:val="00DD1ED8"/>
    <w:rsid w:val="00DD5409"/>
    <w:rsid w:val="00DD62AC"/>
    <w:rsid w:val="00DE0C86"/>
    <w:rsid w:val="00DF1C46"/>
    <w:rsid w:val="00DF2ED5"/>
    <w:rsid w:val="00DF5A69"/>
    <w:rsid w:val="00DF5B8B"/>
    <w:rsid w:val="00DF65B3"/>
    <w:rsid w:val="00E153BE"/>
    <w:rsid w:val="00E22C52"/>
    <w:rsid w:val="00E24001"/>
    <w:rsid w:val="00E313C4"/>
    <w:rsid w:val="00E4196C"/>
    <w:rsid w:val="00E53D4F"/>
    <w:rsid w:val="00E55A03"/>
    <w:rsid w:val="00E578FB"/>
    <w:rsid w:val="00E57E8B"/>
    <w:rsid w:val="00E67751"/>
    <w:rsid w:val="00E70380"/>
    <w:rsid w:val="00E70B46"/>
    <w:rsid w:val="00E743F6"/>
    <w:rsid w:val="00E7694A"/>
    <w:rsid w:val="00E7696B"/>
    <w:rsid w:val="00E77521"/>
    <w:rsid w:val="00E850DB"/>
    <w:rsid w:val="00E86969"/>
    <w:rsid w:val="00E86FCE"/>
    <w:rsid w:val="00E93FE3"/>
    <w:rsid w:val="00EA0155"/>
    <w:rsid w:val="00EA085E"/>
    <w:rsid w:val="00EA0E3A"/>
    <w:rsid w:val="00EA2A7C"/>
    <w:rsid w:val="00EA6CCA"/>
    <w:rsid w:val="00EA7533"/>
    <w:rsid w:val="00EB7B91"/>
    <w:rsid w:val="00EC089E"/>
    <w:rsid w:val="00EC48DF"/>
    <w:rsid w:val="00ED185F"/>
    <w:rsid w:val="00ED3126"/>
    <w:rsid w:val="00ED5828"/>
    <w:rsid w:val="00ED615B"/>
    <w:rsid w:val="00EE4F36"/>
    <w:rsid w:val="00F038B7"/>
    <w:rsid w:val="00F111AE"/>
    <w:rsid w:val="00F22459"/>
    <w:rsid w:val="00F24488"/>
    <w:rsid w:val="00F262E6"/>
    <w:rsid w:val="00F310F6"/>
    <w:rsid w:val="00F33EE1"/>
    <w:rsid w:val="00F43559"/>
    <w:rsid w:val="00F56E4F"/>
    <w:rsid w:val="00F73540"/>
    <w:rsid w:val="00F8719C"/>
    <w:rsid w:val="00F914DB"/>
    <w:rsid w:val="00F920D9"/>
    <w:rsid w:val="00FA00CC"/>
    <w:rsid w:val="00FA2D2B"/>
    <w:rsid w:val="00FB1A88"/>
    <w:rsid w:val="00FB3A07"/>
    <w:rsid w:val="00FB5AFC"/>
    <w:rsid w:val="00FB7229"/>
    <w:rsid w:val="00FC1165"/>
    <w:rsid w:val="00FC1388"/>
    <w:rsid w:val="00FC4172"/>
    <w:rsid w:val="00FC476B"/>
    <w:rsid w:val="00FC6405"/>
    <w:rsid w:val="00FF40D9"/>
    <w:rsid w:val="00FF4342"/>
    <w:rsid w:val="01B004B8"/>
    <w:rsid w:val="042A7C26"/>
    <w:rsid w:val="07B074F8"/>
    <w:rsid w:val="09393127"/>
    <w:rsid w:val="0AAC1BD1"/>
    <w:rsid w:val="0B262094"/>
    <w:rsid w:val="121F07A2"/>
    <w:rsid w:val="12556EBE"/>
    <w:rsid w:val="13DA407B"/>
    <w:rsid w:val="14667A8B"/>
    <w:rsid w:val="18C950CC"/>
    <w:rsid w:val="197B7499"/>
    <w:rsid w:val="1E501A13"/>
    <w:rsid w:val="244A5B1E"/>
    <w:rsid w:val="258D0037"/>
    <w:rsid w:val="273F11CD"/>
    <w:rsid w:val="2773050E"/>
    <w:rsid w:val="2D81705A"/>
    <w:rsid w:val="2E0D7355"/>
    <w:rsid w:val="31FA7788"/>
    <w:rsid w:val="34351CAF"/>
    <w:rsid w:val="35247BBC"/>
    <w:rsid w:val="379D2075"/>
    <w:rsid w:val="3A600962"/>
    <w:rsid w:val="3B661DCB"/>
    <w:rsid w:val="3D92314E"/>
    <w:rsid w:val="419113E7"/>
    <w:rsid w:val="446A7E6C"/>
    <w:rsid w:val="48A771D9"/>
    <w:rsid w:val="4C225D6B"/>
    <w:rsid w:val="5644279E"/>
    <w:rsid w:val="5AA31A8B"/>
    <w:rsid w:val="5B4E1CC8"/>
    <w:rsid w:val="609E7A57"/>
    <w:rsid w:val="64BE5E92"/>
    <w:rsid w:val="67194F25"/>
    <w:rsid w:val="67F93A4C"/>
    <w:rsid w:val="6881081C"/>
    <w:rsid w:val="6E941A25"/>
    <w:rsid w:val="74D64BF2"/>
    <w:rsid w:val="78E64F61"/>
    <w:rsid w:val="78F6731D"/>
    <w:rsid w:val="79793E9C"/>
    <w:rsid w:val="7A1342F5"/>
    <w:rsid w:val="7FB60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qFormat="1"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3"/>
    <w:unhideWhenUsed/>
    <w:qFormat/>
    <w:uiPriority w:val="99"/>
    <w:pPr>
      <w:spacing w:before="6"/>
      <w:ind w:left="1758"/>
    </w:pPr>
    <w:rPr>
      <w:rFonts w:ascii="Arial Unicode MS" w:hAnsi="Arial Unicode MS" w:eastAsia="仿宋_GB2312" w:cs="Times New Roman"/>
      <w:kern w:val="0"/>
      <w:sz w:val="19"/>
      <w:szCs w:val="19"/>
    </w:rPr>
  </w:style>
  <w:style w:type="paragraph" w:styleId="3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locked/>
    <w:uiPriority w:val="22"/>
    <w:rPr>
      <w:b/>
    </w:rPr>
  </w:style>
  <w:style w:type="character" w:styleId="10">
    <w:name w:val="page number"/>
    <w:basedOn w:val="8"/>
    <w:qFormat/>
    <w:uiPriority w:val="99"/>
  </w:style>
  <w:style w:type="character" w:styleId="11">
    <w:name w:val="FollowedHyperlink"/>
    <w:basedOn w:val="8"/>
    <w:qFormat/>
    <w:uiPriority w:val="0"/>
    <w:rPr>
      <w:color w:val="404040"/>
      <w:u w:val="none"/>
    </w:rPr>
  </w:style>
  <w:style w:type="character" w:styleId="12">
    <w:name w:val="HTML Definition"/>
    <w:basedOn w:val="8"/>
    <w:qFormat/>
    <w:uiPriority w:val="0"/>
    <w:rPr>
      <w:i/>
    </w:rPr>
  </w:style>
  <w:style w:type="character" w:styleId="13">
    <w:name w:val="Hyperlink"/>
    <w:basedOn w:val="8"/>
    <w:semiHidden/>
    <w:qFormat/>
    <w:uiPriority w:val="99"/>
    <w:rPr>
      <w:color w:val="404040"/>
      <w:u w:val="none"/>
    </w:rPr>
  </w:style>
  <w:style w:type="character" w:styleId="14">
    <w:name w:val="HTML Code"/>
    <w:basedOn w:val="8"/>
    <w:qFormat/>
    <w:uiPriority w:val="0"/>
    <w:rPr>
      <w:rFonts w:hint="default" w:ascii="Consolas" w:hAnsi="Consolas" w:eastAsia="Consolas" w:cs="Consolas"/>
      <w:color w:val="BD4147"/>
      <w:sz w:val="21"/>
      <w:szCs w:val="21"/>
      <w:shd w:val="clear" w:color="auto" w:fill="F8F9FA"/>
    </w:rPr>
  </w:style>
  <w:style w:type="character" w:styleId="15">
    <w:name w:val="HTML Keyboard"/>
    <w:basedOn w:val="8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212529"/>
    </w:rPr>
  </w:style>
  <w:style w:type="character" w:styleId="16">
    <w:name w:val="HTML Sample"/>
    <w:basedOn w:val="8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7">
    <w:name w:val="批注框文本 Char"/>
    <w:basedOn w:val="8"/>
    <w:link w:val="3"/>
    <w:semiHidden/>
    <w:qFormat/>
    <w:locked/>
    <w:uiPriority w:val="99"/>
    <w:rPr>
      <w:sz w:val="18"/>
      <w:szCs w:val="18"/>
    </w:rPr>
  </w:style>
  <w:style w:type="character" w:customStyle="1" w:styleId="18">
    <w:name w:val="页脚 Char"/>
    <w:basedOn w:val="8"/>
    <w:link w:val="4"/>
    <w:qFormat/>
    <w:locked/>
    <w:uiPriority w:val="99"/>
    <w:rPr>
      <w:sz w:val="18"/>
      <w:szCs w:val="18"/>
    </w:rPr>
  </w:style>
  <w:style w:type="character" w:customStyle="1" w:styleId="19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paragraph" w:customStyle="1" w:styleId="20">
    <w:name w:val="_Style 4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 w:cs="Times New Roman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paragraph" w:customStyle="1" w:styleId="22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3">
    <w:name w:val="正文文本 Char"/>
    <w:basedOn w:val="8"/>
    <w:link w:val="2"/>
    <w:qFormat/>
    <w:uiPriority w:val="99"/>
    <w:rPr>
      <w:rFonts w:ascii="Arial Unicode MS" w:hAnsi="Arial Unicode MS" w:eastAsia="仿宋_GB2312"/>
      <w:sz w:val="19"/>
      <w:szCs w:val="19"/>
    </w:rPr>
  </w:style>
  <w:style w:type="character" w:customStyle="1" w:styleId="24">
    <w:name w:val="first-child"/>
    <w:basedOn w:val="8"/>
    <w:qFormat/>
    <w:uiPriority w:val="0"/>
  </w:style>
  <w:style w:type="character" w:customStyle="1" w:styleId="25">
    <w:name w:val="layui-layer-tabnow"/>
    <w:basedOn w:val="8"/>
    <w:qFormat/>
    <w:uiPriority w:val="0"/>
    <w:rPr>
      <w:bdr w:val="single" w:color="CCCCCC" w:sz="4" w:space="0"/>
      <w:shd w:val="clear" w:color="auto" w:fill="FFFFFF"/>
    </w:rPr>
  </w:style>
  <w:style w:type="character" w:customStyle="1" w:styleId="26">
    <w:name w:val="color-22"/>
    <w:basedOn w:val="8"/>
    <w:qFormat/>
    <w:uiPriority w:val="0"/>
  </w:style>
  <w:style w:type="character" w:customStyle="1" w:styleId="27">
    <w:name w:val="color-2-2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6291-51FC-4876-ACD1-D3D10A2158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9</Pages>
  <Words>724</Words>
  <Characters>4132</Characters>
  <Lines>34</Lines>
  <Paragraphs>9</Paragraphs>
  <TotalTime>0</TotalTime>
  <ScaleCrop>false</ScaleCrop>
  <LinksUpToDate>false</LinksUpToDate>
  <CharactersWithSpaces>4847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2016-08-05T02:05:00Z</dcterms:created>
  <dc:creator>微软用户</dc:creator>
  <cp:lastModifiedBy>夏荣壑</cp:lastModifiedBy>
  <cp:lastPrinted>2020-03-20T02:17:00Z</cp:lastPrinted>
  <dcterms:modified xsi:type="dcterms:W3CDTF">2022-04-08T03:00:08Z</dcterms:modified>
  <dc:title>长沙农村商业银行股份有限公司</dc:title>
  <cp:revision>301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B7A18EB6344D491EA9B38304F48C5658</vt:lpwstr>
  </property>
</Properties>
</file>